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93" w:rsidRPr="00E4586F" w:rsidRDefault="00E75BBA" w:rsidP="00E4586F">
      <w:pPr>
        <w:jc w:val="center"/>
        <w:rPr>
          <w:b/>
          <w:bCs/>
        </w:rPr>
      </w:pPr>
      <w:r>
        <w:rPr>
          <w:b/>
          <w:bCs/>
        </w:rPr>
        <w:t xml:space="preserve">ZMIANY W </w:t>
      </w:r>
      <w:r w:rsidR="005B7E87">
        <w:rPr>
          <w:b/>
          <w:bCs/>
        </w:rPr>
        <w:t>ZAŁĄCZNIKU 1 DO SWZ</w:t>
      </w:r>
    </w:p>
    <w:p w:rsidR="005C224A" w:rsidRDefault="005C224A" w:rsidP="00E75BBA">
      <w:pPr>
        <w:jc w:val="center"/>
      </w:pPr>
      <w:r w:rsidRPr="002E69BC">
        <w:t>Budowa gazowego źródła kogeneracji w kotłowni „Rokitek”</w:t>
      </w:r>
    </w:p>
    <w:p w:rsidR="00E75BBA" w:rsidRDefault="00E75BBA" w:rsidP="0099013A">
      <w:pPr>
        <w:jc w:val="center"/>
        <w:rPr>
          <w:b/>
          <w:bCs/>
        </w:rPr>
      </w:pPr>
    </w:p>
    <w:p w:rsidR="00E75BBA" w:rsidRDefault="00E75BBA" w:rsidP="0099013A">
      <w:pPr>
        <w:jc w:val="center"/>
        <w:rPr>
          <w:b/>
          <w:bCs/>
        </w:rPr>
      </w:pPr>
      <w:r>
        <w:rPr>
          <w:b/>
          <w:bCs/>
        </w:rPr>
        <w:t>Uzupełnieniu i zmianie ulegają następujące punkty</w:t>
      </w:r>
      <w:r w:rsidR="00C75E2D">
        <w:rPr>
          <w:b/>
          <w:bCs/>
        </w:rPr>
        <w:t xml:space="preserve"> </w:t>
      </w:r>
      <w:r w:rsidR="005B7E87">
        <w:rPr>
          <w:b/>
          <w:bCs/>
        </w:rPr>
        <w:t>PFU</w:t>
      </w:r>
      <w:r>
        <w:rPr>
          <w:b/>
          <w:bCs/>
        </w:rPr>
        <w:t>:</w:t>
      </w:r>
    </w:p>
    <w:p w:rsidR="00E75BBA" w:rsidRDefault="00E75BBA" w:rsidP="0099013A">
      <w:pPr>
        <w:jc w:val="center"/>
        <w:rPr>
          <w:b/>
          <w:bCs/>
        </w:rPr>
      </w:pPr>
    </w:p>
    <w:p w:rsidR="005A6D87" w:rsidRPr="005A6D87" w:rsidRDefault="005A6D87" w:rsidP="005A6D87">
      <w:pPr>
        <w:jc w:val="both"/>
        <w:rPr>
          <w:b/>
          <w:bCs/>
        </w:rPr>
      </w:pPr>
      <w:r w:rsidRPr="005A6D87">
        <w:rPr>
          <w:b/>
          <w:bCs/>
        </w:rPr>
        <w:t>Rozdział 2.1.1. Parametry gwarantowane agregatu kogeneracyjnego</w:t>
      </w:r>
    </w:p>
    <w:p w:rsidR="005A6D87" w:rsidRPr="005A6D87" w:rsidRDefault="005A6D87" w:rsidP="005A6D87">
      <w:pPr>
        <w:jc w:val="both"/>
      </w:pPr>
      <w:r w:rsidRPr="005A6D87">
        <w:t>- Tabela 2. Gwarantowane parametry techniczne agregatu kogeneracyjnego: „</w:t>
      </w:r>
      <w:r w:rsidRPr="005A6D87">
        <w:rPr>
          <w:i/>
          <w:iCs/>
        </w:rPr>
        <w:t>zainstalowana moc elektryczna</w:t>
      </w:r>
      <w:r w:rsidRPr="005A6D87">
        <w:t>” zastąpiono zapisem: „</w:t>
      </w:r>
      <w:r w:rsidRPr="005A6D87">
        <w:rPr>
          <w:i/>
          <w:iCs/>
        </w:rPr>
        <w:t>Znamionowa moc elektryczna</w:t>
      </w:r>
      <w:r w:rsidRPr="005A6D87">
        <w:t xml:space="preserve">” i podano przedział dopuszczalnej mocy: </w:t>
      </w:r>
      <w:r>
        <w:t>„</w:t>
      </w:r>
      <w:r w:rsidRPr="005A6D87">
        <w:rPr>
          <w:i/>
          <w:iCs/>
        </w:rPr>
        <w:t>990-999 kW</w:t>
      </w:r>
      <w:r>
        <w:t>”</w:t>
      </w:r>
      <w:r w:rsidRPr="005A6D87">
        <w:t>.</w:t>
      </w:r>
    </w:p>
    <w:p w:rsidR="005A6D87" w:rsidRDefault="005A6D87" w:rsidP="005A6D87">
      <w:pPr>
        <w:jc w:val="both"/>
      </w:pPr>
      <w:r w:rsidRPr="005A6D87">
        <w:t xml:space="preserve">- Tabela 2. Gwarantowane parametry techniczne agregatu kogeneracyjnego: Usunięto zapis o </w:t>
      </w:r>
      <w:r>
        <w:t>„</w:t>
      </w:r>
      <w:r w:rsidRPr="005A6D87">
        <w:rPr>
          <w:i/>
          <w:iCs/>
        </w:rPr>
        <w:t>mocy nominalnej elektrycznej</w:t>
      </w:r>
      <w:r>
        <w:t>”</w:t>
      </w:r>
    </w:p>
    <w:p w:rsidR="00DC0FC1" w:rsidRPr="005A6D87" w:rsidRDefault="00DC0FC1" w:rsidP="005A6D87">
      <w:pPr>
        <w:jc w:val="both"/>
      </w:pPr>
    </w:p>
    <w:p w:rsidR="005A6D87" w:rsidRPr="005A6D87" w:rsidRDefault="005A6D87" w:rsidP="005A6D87">
      <w:pPr>
        <w:jc w:val="both"/>
        <w:rPr>
          <w:b/>
          <w:bCs/>
        </w:rPr>
      </w:pPr>
      <w:r w:rsidRPr="005A6D87">
        <w:rPr>
          <w:b/>
          <w:bCs/>
        </w:rPr>
        <w:t>Rozdział 2.1.2. Definicje związane z określeniem parametrów gwarantowanych</w:t>
      </w:r>
    </w:p>
    <w:p w:rsidR="005A6D87" w:rsidRPr="005A6D87" w:rsidRDefault="005A6D87" w:rsidP="005A6D87">
      <w:pPr>
        <w:jc w:val="both"/>
      </w:pPr>
      <w:r w:rsidRPr="005A6D87">
        <w:t>Wprowadzono następujące zmiany do przytoczonych definicji:</w:t>
      </w:r>
    </w:p>
    <w:p w:rsidR="005A6D87" w:rsidRPr="005A6D87" w:rsidRDefault="005A6D87" w:rsidP="005A6D87">
      <w:pPr>
        <w:jc w:val="both"/>
      </w:pPr>
      <w:r w:rsidRPr="005A6D87">
        <w:t>- zapis „</w:t>
      </w:r>
      <w:r w:rsidRPr="005A6D87">
        <w:rPr>
          <w:i/>
          <w:iCs/>
        </w:rPr>
        <w:t>Zainstalowana moc elektryczna</w:t>
      </w:r>
      <w:r w:rsidRPr="005A6D87">
        <w:t>” zmieniono na „</w:t>
      </w:r>
      <w:r w:rsidRPr="005A6D87">
        <w:rPr>
          <w:i/>
          <w:iCs/>
        </w:rPr>
        <w:t>Znamionowa moc elektryczna</w:t>
      </w:r>
      <w:r w:rsidRPr="005A6D87">
        <w:t>”;</w:t>
      </w:r>
    </w:p>
    <w:p w:rsidR="005A6D87" w:rsidRPr="005A6D87" w:rsidRDefault="005A6D87" w:rsidP="005A6D87">
      <w:pPr>
        <w:jc w:val="both"/>
      </w:pPr>
      <w:r w:rsidRPr="005A6D87">
        <w:t>- usunięto następującą definicję: „</w:t>
      </w:r>
      <w:r w:rsidRPr="005A6D87">
        <w:rPr>
          <w:i/>
          <w:iCs/>
        </w:rPr>
        <w:t>Nominalna moc elektryczna</w:t>
      </w:r>
      <w:r w:rsidRPr="005A6D87">
        <w:t>”;</w:t>
      </w:r>
    </w:p>
    <w:p w:rsidR="00C75E2D" w:rsidRDefault="005A6D87" w:rsidP="005A6D87">
      <w:pPr>
        <w:jc w:val="both"/>
      </w:pPr>
      <w:r w:rsidRPr="005A6D87">
        <w:t>- zmieniono definicję „</w:t>
      </w:r>
      <w:r w:rsidRPr="005A6D87">
        <w:rPr>
          <w:i/>
          <w:iCs/>
        </w:rPr>
        <w:t>nominalnej sprawności elektrycznej</w:t>
      </w:r>
      <w:r w:rsidRPr="005A6D87">
        <w:t>”, nowa definicja brzmi: „</w:t>
      </w:r>
      <w:r w:rsidRPr="005A6D87">
        <w:rPr>
          <w:i/>
          <w:iCs/>
        </w:rPr>
        <w:t>Nominalna sprawność elektryczna – stosunek mocy elektrycznej osiąganej przy pełnym obciążeniu agregatu CHP do nominalnej mocy w paliwie</w:t>
      </w:r>
      <w:r w:rsidRPr="005A6D87">
        <w:t>”.</w:t>
      </w:r>
    </w:p>
    <w:p w:rsidR="00BF6F71" w:rsidRPr="005A6D87" w:rsidRDefault="00BF6F71" w:rsidP="00BF6F71">
      <w:pPr>
        <w:jc w:val="both"/>
        <w:rPr>
          <w:b/>
          <w:bCs/>
        </w:rPr>
      </w:pPr>
      <w:r w:rsidRPr="005A6D87">
        <w:rPr>
          <w:b/>
          <w:bCs/>
        </w:rPr>
        <w:t>Rozdział 2.</w:t>
      </w:r>
      <w:r>
        <w:rPr>
          <w:b/>
          <w:bCs/>
        </w:rPr>
        <w:t>4</w:t>
      </w:r>
      <w:r w:rsidRPr="005A6D87">
        <w:rPr>
          <w:b/>
          <w:bCs/>
        </w:rPr>
        <w:t>.</w:t>
      </w:r>
      <w:r>
        <w:rPr>
          <w:b/>
          <w:bCs/>
        </w:rPr>
        <w:t>5</w:t>
      </w:r>
      <w:r w:rsidRPr="005A6D87">
        <w:rPr>
          <w:b/>
          <w:bCs/>
        </w:rPr>
        <w:t xml:space="preserve">. </w:t>
      </w:r>
      <w:r>
        <w:rPr>
          <w:b/>
          <w:bCs/>
        </w:rPr>
        <w:t>Część technologiczna</w:t>
      </w:r>
    </w:p>
    <w:p w:rsidR="00BF6F71" w:rsidRPr="005A6D87" w:rsidRDefault="00BF6F71" w:rsidP="00BF6F71">
      <w:pPr>
        <w:jc w:val="both"/>
      </w:pPr>
      <w:r w:rsidRPr="005A6D87">
        <w:t xml:space="preserve">Wprowadzono następujące zmiany </w:t>
      </w:r>
      <w:r>
        <w:t>/ wydajność odgazowywacza próżniowego z 4 m</w:t>
      </w:r>
      <w:r w:rsidRPr="00636BCE">
        <w:rPr>
          <w:vertAlign w:val="superscript"/>
        </w:rPr>
        <w:t>3</w:t>
      </w:r>
      <w:r>
        <w:t>/h na 6 m</w:t>
      </w:r>
      <w:r w:rsidRPr="00636BCE">
        <w:rPr>
          <w:vertAlign w:val="superscript"/>
        </w:rPr>
        <w:t>3</w:t>
      </w:r>
      <w:r>
        <w:t xml:space="preserve">/h/ </w:t>
      </w:r>
      <w:r w:rsidRPr="005A6D87">
        <w:t>:</w:t>
      </w:r>
    </w:p>
    <w:p w:rsidR="00BF6F71" w:rsidRDefault="00BF6F71" w:rsidP="00BF6F71">
      <w:pPr>
        <w:pStyle w:val="Nagwek5"/>
      </w:pPr>
      <w:r>
        <w:t>Stacja uzdatniania wody</w:t>
      </w:r>
    </w:p>
    <w:p w:rsidR="00BF6F71" w:rsidRDefault="00BF6F71" w:rsidP="00BF6F71">
      <w:r>
        <w:t xml:space="preserve">Woda w obiegach wodnych agregatu </w:t>
      </w:r>
      <w:proofErr w:type="spellStart"/>
      <w:r>
        <w:t>kogeneracyjnego</w:t>
      </w:r>
      <w:proofErr w:type="spellEnd"/>
      <w:r>
        <w:t xml:space="preserve"> napełniana i uzupełniana będzie z istniejącej stacji uzdatniania wody. </w:t>
      </w:r>
    </w:p>
    <w:p w:rsidR="00372EB5" w:rsidRDefault="00BF6F71" w:rsidP="00BF6F71">
      <w:pPr>
        <w:jc w:val="both"/>
      </w:pPr>
      <w:r>
        <w:t>W</w:t>
      </w:r>
      <w:r w:rsidRPr="00125D12">
        <w:t xml:space="preserve"> celu zapewnienia możliwości uzupełniania sieci ciepłowniczej wodą odgaz</w:t>
      </w:r>
      <w:r w:rsidRPr="00125D12">
        <w:t>o</w:t>
      </w:r>
      <w:r w:rsidRPr="00125D12">
        <w:t>waną</w:t>
      </w:r>
      <w:r>
        <w:t>,</w:t>
      </w:r>
      <w:r w:rsidRPr="00125D12">
        <w:t xml:space="preserve"> bez konieczności uruchamiania odgazowywacza termicznego (wymaga temper</w:t>
      </w:r>
      <w:r w:rsidRPr="00125D12">
        <w:t>a</w:t>
      </w:r>
      <w:r w:rsidRPr="00125D12">
        <w:t>tury wody przekraczającej 120</w:t>
      </w:r>
      <w:r>
        <w:t> </w:t>
      </w:r>
      <w:r w:rsidRPr="00125D12">
        <w:t>°C</w:t>
      </w:r>
      <w:r>
        <w:t>)</w:t>
      </w:r>
      <w:r w:rsidRPr="00125D12">
        <w:t xml:space="preserve"> w istniejącej SUW zainstalowany </w:t>
      </w:r>
      <w:r>
        <w:t xml:space="preserve">zostanie nowy </w:t>
      </w:r>
      <w:r w:rsidRPr="00125D12">
        <w:t>o</w:t>
      </w:r>
      <w:r w:rsidRPr="00125D12">
        <w:t>d</w:t>
      </w:r>
      <w:r w:rsidRPr="00125D12">
        <w:t>gazowywacz próżniowy</w:t>
      </w:r>
      <w:r>
        <w:t xml:space="preserve"> o wydajności 6 m</w:t>
      </w:r>
      <w:r w:rsidRPr="00636BCE">
        <w:rPr>
          <w:vertAlign w:val="superscript"/>
        </w:rPr>
        <w:t>3</w:t>
      </w:r>
      <w:r>
        <w:t>/h.</w:t>
      </w:r>
    </w:p>
    <w:p w:rsidR="00DC0FC1" w:rsidRDefault="004210EE" w:rsidP="005A6D87">
      <w:pPr>
        <w:jc w:val="both"/>
        <w:rPr>
          <w:b/>
          <w:bCs/>
        </w:rPr>
      </w:pPr>
      <w:r w:rsidRPr="005A6D87">
        <w:rPr>
          <w:b/>
          <w:bCs/>
        </w:rPr>
        <w:t xml:space="preserve">Rozdział </w:t>
      </w:r>
      <w:r>
        <w:rPr>
          <w:b/>
          <w:bCs/>
        </w:rPr>
        <w:t xml:space="preserve"> </w:t>
      </w:r>
      <w:r w:rsidR="00DC0FC1" w:rsidRPr="00DC0FC1">
        <w:rPr>
          <w:b/>
          <w:bCs/>
        </w:rPr>
        <w:t>3.8.1. Testy fabryczne</w:t>
      </w:r>
    </w:p>
    <w:p w:rsidR="00DC0FC1" w:rsidRPr="005A6D87" w:rsidRDefault="00DC0FC1" w:rsidP="00DC0FC1">
      <w:pPr>
        <w:jc w:val="both"/>
      </w:pPr>
      <w:r w:rsidRPr="005A6D87">
        <w:t xml:space="preserve">Wprowadzono następujące </w:t>
      </w:r>
      <w:r>
        <w:t>zapis</w:t>
      </w:r>
      <w:r w:rsidRPr="005A6D87">
        <w:t>:</w:t>
      </w:r>
    </w:p>
    <w:p w:rsidR="00DC0FC1" w:rsidRPr="00DC0FC1" w:rsidRDefault="00DC0FC1" w:rsidP="00DC0FC1">
      <w:pPr>
        <w:jc w:val="both"/>
        <w:rPr>
          <w:i/>
          <w:iCs/>
        </w:rPr>
      </w:pPr>
      <w:r>
        <w:rPr>
          <w:i/>
          <w:iCs/>
        </w:rPr>
        <w:t>„</w:t>
      </w:r>
      <w:r w:rsidRPr="00DC0FC1">
        <w:rPr>
          <w:i/>
          <w:iCs/>
        </w:rPr>
        <w:t>Dopuszcza się przedstawienie wyników testów i badań fabryczny, które nie określą mocy termicznej badanego układu CHP.</w:t>
      </w:r>
      <w:r>
        <w:rPr>
          <w:i/>
          <w:iCs/>
        </w:rPr>
        <w:t>”</w:t>
      </w:r>
    </w:p>
    <w:p w:rsidR="00DC0FC1" w:rsidRDefault="00DC0FC1" w:rsidP="005A6D87">
      <w:pPr>
        <w:jc w:val="both"/>
      </w:pPr>
    </w:p>
    <w:p w:rsidR="00DC0FC1" w:rsidRDefault="00DC0FC1" w:rsidP="005A6D87">
      <w:pPr>
        <w:jc w:val="both"/>
      </w:pPr>
    </w:p>
    <w:p w:rsidR="00372EB5" w:rsidRDefault="00372EB5" w:rsidP="005A6D87">
      <w:pPr>
        <w:jc w:val="both"/>
      </w:pPr>
      <w:r w:rsidRPr="005A6D87">
        <w:rPr>
          <w:b/>
          <w:bCs/>
        </w:rPr>
        <w:t xml:space="preserve">Rozdział </w:t>
      </w:r>
      <w:r>
        <w:rPr>
          <w:b/>
          <w:bCs/>
        </w:rPr>
        <w:t>3.8.2</w:t>
      </w:r>
      <w:r w:rsidRPr="005A6D87">
        <w:rPr>
          <w:b/>
          <w:bCs/>
        </w:rPr>
        <w:t>.</w:t>
      </w:r>
      <w:r>
        <w:rPr>
          <w:b/>
          <w:bCs/>
        </w:rPr>
        <w:t xml:space="preserve"> Rozruch urządzeń i systemów </w:t>
      </w:r>
    </w:p>
    <w:p w:rsidR="00372EB5" w:rsidRPr="005A6D87" w:rsidRDefault="00372EB5" w:rsidP="00372EB5">
      <w:pPr>
        <w:jc w:val="both"/>
      </w:pPr>
      <w:r w:rsidRPr="005A6D87">
        <w:t xml:space="preserve">Wprowadzono następujące zmiany </w:t>
      </w:r>
      <w:r>
        <w:t>dotyczące pokrycia kosztów zużytych mediów (paliwo gazowe, energia elektryczna oraz woda) podczas rozruchu urządzeń oraz ruchu gwarancyjnego.</w:t>
      </w:r>
    </w:p>
    <w:p w:rsidR="00372EB5" w:rsidRDefault="00372EB5" w:rsidP="005A6D87">
      <w:pPr>
        <w:jc w:val="both"/>
        <w:rPr>
          <w:i/>
          <w:iCs/>
        </w:rPr>
      </w:pPr>
      <w:r>
        <w:rPr>
          <w:i/>
          <w:iCs/>
        </w:rPr>
        <w:t>„</w:t>
      </w:r>
      <w:r w:rsidRPr="00372EB5">
        <w:rPr>
          <w:i/>
          <w:iCs/>
        </w:rPr>
        <w:t>Wszelkie środki i materiały potrzebne do przeprowadzenia rozruchu zapewni Wykonawca i poniesie związane z tym koszty, które uwzględni w cenie ofertowej. Zamawiający pokryje koszty paliwa, energii elektrycznej oraz wody, które będą wynikały ze zużycia tych mediów podczas rozruchu urządzeń</w:t>
      </w:r>
      <w:r>
        <w:rPr>
          <w:i/>
          <w:iCs/>
        </w:rPr>
        <w:t>.</w:t>
      </w:r>
      <w:r w:rsidRPr="00372EB5">
        <w:rPr>
          <w:i/>
          <w:iCs/>
        </w:rPr>
        <w:t xml:space="preserve"> Wykonawca poniesie koszty wystąpienia ewentualnych awarii urządzeń w związku z</w:t>
      </w:r>
      <w:r>
        <w:rPr>
          <w:i/>
          <w:iCs/>
        </w:rPr>
        <w:t> </w:t>
      </w:r>
      <w:r w:rsidRPr="00372EB5">
        <w:rPr>
          <w:i/>
          <w:iCs/>
        </w:rPr>
        <w:t>przeprowadzanymi rozruchami.</w:t>
      </w:r>
      <w:r>
        <w:rPr>
          <w:i/>
          <w:iCs/>
        </w:rPr>
        <w:t>”</w:t>
      </w:r>
    </w:p>
    <w:p w:rsidR="005C24D9" w:rsidRDefault="005C24D9" w:rsidP="005A6D87">
      <w:pPr>
        <w:jc w:val="both"/>
        <w:rPr>
          <w:i/>
          <w:iCs/>
        </w:rPr>
      </w:pPr>
    </w:p>
    <w:p w:rsidR="005C24D9" w:rsidRPr="005C24D9" w:rsidRDefault="005C24D9" w:rsidP="005A6D87">
      <w:pPr>
        <w:jc w:val="both"/>
        <w:rPr>
          <w:b/>
          <w:bCs/>
        </w:rPr>
      </w:pPr>
      <w:r w:rsidRPr="005C24D9">
        <w:rPr>
          <w:b/>
          <w:bCs/>
        </w:rPr>
        <w:t>Dodano nowy rozdział do PFU:</w:t>
      </w:r>
    </w:p>
    <w:p w:rsidR="005C24D9" w:rsidRPr="005C24D9" w:rsidRDefault="005C24D9" w:rsidP="005C24D9">
      <w:pPr>
        <w:jc w:val="both"/>
        <w:rPr>
          <w:i/>
          <w:iCs/>
        </w:rPr>
      </w:pPr>
      <w:r>
        <w:rPr>
          <w:i/>
          <w:iCs/>
        </w:rPr>
        <w:t>„</w:t>
      </w:r>
      <w:r w:rsidRPr="005C24D9">
        <w:rPr>
          <w:i/>
          <w:iCs/>
        </w:rPr>
        <w:t>3.9. Indywidualne wymagania Zamawiającego w sprawie hałasu</w:t>
      </w:r>
    </w:p>
    <w:p w:rsidR="005C24D9" w:rsidRPr="005C24D9" w:rsidRDefault="005C24D9" w:rsidP="005C24D9">
      <w:pPr>
        <w:jc w:val="both"/>
        <w:rPr>
          <w:i/>
          <w:iCs/>
        </w:rPr>
      </w:pPr>
      <w:r w:rsidRPr="005C24D9">
        <w:rPr>
          <w:i/>
          <w:iCs/>
        </w:rPr>
        <w:t xml:space="preserve">Prace mają zostać wykonane zgodnie z obowiązującymi przepisami, m.in.: zgodnie z Rozporządzeniem Ministra Gospodarki i Pracy z dnia 5 sierpnia 2005 r. w sprawie bezpieczeństwa i higieny pracy przy pracach związanych z narażeniem na hałas lub drgania mechaniczne wdrażające postanowienia Dyrektywy Hałasowej 2003/10/WE, wprowadza wartości progu działania: dla poziomu ekspozycji na hałas odniesionego do 8-godzinnego dobowego wymiaru pracy lub poziomu ekspozycji na hałas odniesionego do tygodnia pracy – 80 </w:t>
      </w:r>
      <w:proofErr w:type="spellStart"/>
      <w:r w:rsidRPr="005C24D9">
        <w:rPr>
          <w:i/>
          <w:iCs/>
        </w:rPr>
        <w:t>dB</w:t>
      </w:r>
      <w:proofErr w:type="spellEnd"/>
      <w:r w:rsidRPr="005C24D9">
        <w:rPr>
          <w:i/>
          <w:iCs/>
        </w:rPr>
        <w:t xml:space="preserve">; dla szczytowego poziomu dźwięku C – 135 </w:t>
      </w:r>
      <w:proofErr w:type="spellStart"/>
      <w:r w:rsidRPr="005C24D9">
        <w:rPr>
          <w:i/>
          <w:iCs/>
        </w:rPr>
        <w:t>dB</w:t>
      </w:r>
      <w:proofErr w:type="spellEnd"/>
      <w:r w:rsidRPr="005C24D9">
        <w:rPr>
          <w:i/>
          <w:iCs/>
        </w:rPr>
        <w:t>. Prace mają zostać wykonane zgodnie z Rozporządzeniem Ministra Infrastruktur z dnia 12 kwietnia 2002 r. w</w:t>
      </w:r>
      <w:r>
        <w:rPr>
          <w:i/>
          <w:iCs/>
        </w:rPr>
        <w:t> </w:t>
      </w:r>
      <w:r w:rsidRPr="005C24D9">
        <w:rPr>
          <w:i/>
          <w:iCs/>
        </w:rPr>
        <w:t>sprawie warunków technicznych, jakim powinny od-powiadać budynki i ich usytuowanie oraz z</w:t>
      </w:r>
      <w:r>
        <w:rPr>
          <w:i/>
          <w:iCs/>
        </w:rPr>
        <w:t> </w:t>
      </w:r>
      <w:r w:rsidRPr="005C24D9">
        <w:rPr>
          <w:i/>
          <w:iCs/>
        </w:rPr>
        <w:t>przytoczonym przez Oferenta rozporządzeniem Ministra Środowiska z dnia 14 czerwca 2007 r. w</w:t>
      </w:r>
      <w:r>
        <w:rPr>
          <w:i/>
          <w:iCs/>
        </w:rPr>
        <w:t> </w:t>
      </w:r>
      <w:r w:rsidRPr="005C24D9">
        <w:rPr>
          <w:i/>
          <w:iCs/>
        </w:rPr>
        <w:t>sprawie dopuszczalnych poziomów hałasu w środowisku.</w:t>
      </w:r>
    </w:p>
    <w:p w:rsidR="005C24D9" w:rsidRPr="00372EB5" w:rsidRDefault="005C24D9" w:rsidP="005C24D9">
      <w:pPr>
        <w:jc w:val="both"/>
        <w:rPr>
          <w:i/>
          <w:iCs/>
        </w:rPr>
      </w:pPr>
      <w:r w:rsidRPr="005C24D9">
        <w:rPr>
          <w:i/>
          <w:iCs/>
        </w:rPr>
        <w:t xml:space="preserve">Zamawiający wymaga poziom hałasu na hali w wartości 80 </w:t>
      </w:r>
      <w:proofErr w:type="spellStart"/>
      <w:r w:rsidRPr="005C24D9">
        <w:rPr>
          <w:i/>
          <w:iCs/>
        </w:rPr>
        <w:t>dB</w:t>
      </w:r>
      <w:proofErr w:type="spellEnd"/>
      <w:r w:rsidRPr="005C24D9">
        <w:rPr>
          <w:i/>
          <w:iCs/>
        </w:rPr>
        <w:t>.</w:t>
      </w:r>
      <w:r>
        <w:rPr>
          <w:i/>
          <w:iCs/>
        </w:rPr>
        <w:t>”</w:t>
      </w:r>
    </w:p>
    <w:sectPr w:rsidR="005C24D9" w:rsidRPr="00372EB5" w:rsidSect="000C4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56" w:rsidRDefault="00CE6B56" w:rsidP="00EF4D91">
      <w:pPr>
        <w:spacing w:after="0" w:line="240" w:lineRule="auto"/>
      </w:pPr>
      <w:r>
        <w:separator/>
      </w:r>
    </w:p>
  </w:endnote>
  <w:endnote w:type="continuationSeparator" w:id="0">
    <w:p w:rsidR="00CE6B56" w:rsidRDefault="00CE6B56" w:rsidP="00EF4D91">
      <w:pPr>
        <w:spacing w:after="0" w:line="240" w:lineRule="auto"/>
      </w:pPr>
      <w:r>
        <w:continuationSeparator/>
      </w:r>
    </w:p>
  </w:endnote>
  <w:endnote w:type="continuationNotice" w:id="1">
    <w:p w:rsidR="00CE6B56" w:rsidRDefault="00CE6B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56" w:rsidRDefault="00CE6B56" w:rsidP="00EF4D91">
      <w:pPr>
        <w:spacing w:after="0" w:line="240" w:lineRule="auto"/>
      </w:pPr>
      <w:r>
        <w:separator/>
      </w:r>
    </w:p>
  </w:footnote>
  <w:footnote w:type="continuationSeparator" w:id="0">
    <w:p w:rsidR="00CE6B56" w:rsidRDefault="00CE6B56" w:rsidP="00EF4D91">
      <w:pPr>
        <w:spacing w:after="0" w:line="240" w:lineRule="auto"/>
      </w:pPr>
      <w:r>
        <w:continuationSeparator/>
      </w:r>
    </w:p>
  </w:footnote>
  <w:footnote w:type="continuationNotice" w:id="1">
    <w:p w:rsidR="00CE6B56" w:rsidRDefault="00CE6B5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91" w:rsidRDefault="00EF4D91" w:rsidP="004F3A8C">
    <w:pPr>
      <w:pStyle w:val="Nagwek"/>
      <w:tabs>
        <w:tab w:val="clear" w:pos="9072"/>
        <w:tab w:val="right" w:pos="8647"/>
      </w:tabs>
      <w:ind w:left="-567" w:right="-851"/>
    </w:pPr>
    <w:r>
      <w:rPr>
        <w:noProof/>
        <w:lang w:eastAsia="pl-PL"/>
      </w:rPr>
      <w:drawing>
        <wp:inline distT="0" distB="0" distL="0" distR="0">
          <wp:extent cx="2019869" cy="954415"/>
          <wp:effectExtent l="0" t="0" r="0" b="0"/>
          <wp:docPr id="1" name="Obraz 1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7982" cy="723331"/>
          <wp:effectExtent l="0" t="0" r="5715" b="635"/>
          <wp:docPr id="2" name="Obraz 2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79427" cy="953997"/>
          <wp:effectExtent l="0" t="0" r="0" b="0"/>
          <wp:docPr id="6" name="Obraz 6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D91" w:rsidRDefault="00EF4D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FE5"/>
    <w:multiLevelType w:val="hybridMultilevel"/>
    <w:tmpl w:val="1754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791"/>
    <w:multiLevelType w:val="hybridMultilevel"/>
    <w:tmpl w:val="846E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13CA"/>
    <w:multiLevelType w:val="multilevel"/>
    <w:tmpl w:val="1CE4C5FE"/>
    <w:numStyleLink w:val="Pkt1"/>
  </w:abstractNum>
  <w:abstractNum w:abstractNumId="3">
    <w:nsid w:val="56106E3D"/>
    <w:multiLevelType w:val="multilevel"/>
    <w:tmpl w:val="DC08C566"/>
    <w:lvl w:ilvl="0">
      <w:start w:val="1"/>
      <w:numFmt w:val="decimal"/>
      <w:pStyle w:val="Nagwek2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3"/>
      <w:suff w:val="space"/>
      <w:lvlText w:val="%1.%2."/>
      <w:lvlJc w:val="left"/>
      <w:pPr>
        <w:ind w:left="567" w:hanging="567"/>
      </w:pPr>
      <w:rPr>
        <w:specVanish w:val="0"/>
      </w:rPr>
    </w:lvl>
    <w:lvl w:ilvl="2">
      <w:start w:val="1"/>
      <w:numFmt w:val="decimal"/>
      <w:pStyle w:val="Nagwek4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366200"/>
    <w:multiLevelType w:val="multilevel"/>
    <w:tmpl w:val="1CE4C5FE"/>
    <w:styleLink w:val="Pk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70193"/>
    <w:rsid w:val="00072663"/>
    <w:rsid w:val="000B271A"/>
    <w:rsid w:val="000B6856"/>
    <w:rsid w:val="000C4A86"/>
    <w:rsid w:val="000F63EA"/>
    <w:rsid w:val="00120CB3"/>
    <w:rsid w:val="001446C0"/>
    <w:rsid w:val="001735F4"/>
    <w:rsid w:val="00174254"/>
    <w:rsid w:val="00184F2F"/>
    <w:rsid w:val="001940F1"/>
    <w:rsid w:val="001C113E"/>
    <w:rsid w:val="001C3D02"/>
    <w:rsid w:val="00232B2D"/>
    <w:rsid w:val="00263F36"/>
    <w:rsid w:val="00270193"/>
    <w:rsid w:val="0027487A"/>
    <w:rsid w:val="00327320"/>
    <w:rsid w:val="00354D23"/>
    <w:rsid w:val="00372EB5"/>
    <w:rsid w:val="00376F70"/>
    <w:rsid w:val="0038469E"/>
    <w:rsid w:val="003A60AC"/>
    <w:rsid w:val="003E6391"/>
    <w:rsid w:val="004210EE"/>
    <w:rsid w:val="00430027"/>
    <w:rsid w:val="00434D5A"/>
    <w:rsid w:val="00442C8F"/>
    <w:rsid w:val="004C6EAD"/>
    <w:rsid w:val="004F3A8C"/>
    <w:rsid w:val="00503DD0"/>
    <w:rsid w:val="00521EA2"/>
    <w:rsid w:val="00527A29"/>
    <w:rsid w:val="005403C7"/>
    <w:rsid w:val="005A0DC3"/>
    <w:rsid w:val="005A1D09"/>
    <w:rsid w:val="005A6D87"/>
    <w:rsid w:val="005B7E87"/>
    <w:rsid w:val="005C224A"/>
    <w:rsid w:val="005C24D9"/>
    <w:rsid w:val="00623E56"/>
    <w:rsid w:val="00634C66"/>
    <w:rsid w:val="00651A0F"/>
    <w:rsid w:val="00665D97"/>
    <w:rsid w:val="00684B54"/>
    <w:rsid w:val="0069340D"/>
    <w:rsid w:val="006B5679"/>
    <w:rsid w:val="006E5452"/>
    <w:rsid w:val="007135D9"/>
    <w:rsid w:val="00714AD7"/>
    <w:rsid w:val="007541FC"/>
    <w:rsid w:val="0077455D"/>
    <w:rsid w:val="00781C90"/>
    <w:rsid w:val="007D21EE"/>
    <w:rsid w:val="007D28D4"/>
    <w:rsid w:val="007F211B"/>
    <w:rsid w:val="007F4593"/>
    <w:rsid w:val="00850ADD"/>
    <w:rsid w:val="00851D3D"/>
    <w:rsid w:val="0087057D"/>
    <w:rsid w:val="008D7DDF"/>
    <w:rsid w:val="008F75BE"/>
    <w:rsid w:val="009307F1"/>
    <w:rsid w:val="00941E8D"/>
    <w:rsid w:val="0099013A"/>
    <w:rsid w:val="00A00224"/>
    <w:rsid w:val="00A16547"/>
    <w:rsid w:val="00A20639"/>
    <w:rsid w:val="00A32C42"/>
    <w:rsid w:val="00AD394D"/>
    <w:rsid w:val="00B07908"/>
    <w:rsid w:val="00B21623"/>
    <w:rsid w:val="00B60AB2"/>
    <w:rsid w:val="00B955E4"/>
    <w:rsid w:val="00BB0F07"/>
    <w:rsid w:val="00BD01F1"/>
    <w:rsid w:val="00BF6F71"/>
    <w:rsid w:val="00C102D3"/>
    <w:rsid w:val="00C26841"/>
    <w:rsid w:val="00C62BCB"/>
    <w:rsid w:val="00C65379"/>
    <w:rsid w:val="00C7158D"/>
    <w:rsid w:val="00C75E2D"/>
    <w:rsid w:val="00CB4C3E"/>
    <w:rsid w:val="00CC7C92"/>
    <w:rsid w:val="00CE6B56"/>
    <w:rsid w:val="00D546FF"/>
    <w:rsid w:val="00D72500"/>
    <w:rsid w:val="00D90B4F"/>
    <w:rsid w:val="00D968F8"/>
    <w:rsid w:val="00DA6BB0"/>
    <w:rsid w:val="00DB4399"/>
    <w:rsid w:val="00DC0FC1"/>
    <w:rsid w:val="00DF4B99"/>
    <w:rsid w:val="00E17711"/>
    <w:rsid w:val="00E431AA"/>
    <w:rsid w:val="00E4586F"/>
    <w:rsid w:val="00E45BE1"/>
    <w:rsid w:val="00E75BBA"/>
    <w:rsid w:val="00EB184D"/>
    <w:rsid w:val="00EC7A2B"/>
    <w:rsid w:val="00ED0944"/>
    <w:rsid w:val="00ED2618"/>
    <w:rsid w:val="00ED2810"/>
    <w:rsid w:val="00ED5851"/>
    <w:rsid w:val="00EF4D91"/>
    <w:rsid w:val="00F03B21"/>
    <w:rsid w:val="00F76CD1"/>
    <w:rsid w:val="00FC2C45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1" w:qFormat="1"/>
    <w:lsdException w:name="heading 5" w:uiPriority="1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A86"/>
  </w:style>
  <w:style w:type="paragraph" w:styleId="Nagwek1">
    <w:name w:val="heading 1"/>
    <w:basedOn w:val="Normalny"/>
    <w:next w:val="Normalny"/>
    <w:link w:val="Nagwek1Znak"/>
    <w:uiPriority w:val="9"/>
    <w:qFormat/>
    <w:rsid w:val="00BF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F6F71"/>
    <w:pPr>
      <w:numPr>
        <w:numId w:val="5"/>
      </w:numPr>
      <w:spacing w:before="240" w:after="120" w:line="312" w:lineRule="auto"/>
      <w:outlineLvl w:val="1"/>
    </w:pPr>
    <w:rPr>
      <w:rFonts w:ascii="Source Sans Pro SemiBold" w:hAnsi="Source Sans Pro SemiBold" w:cstheme="majorHAnsi"/>
      <w:b w:val="0"/>
      <w:bCs w:val="0"/>
      <w:color w:val="F15A22"/>
      <w:spacing w:val="14"/>
      <w:sz w:val="32"/>
      <w:szCs w:val="3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F6F71"/>
    <w:pPr>
      <w:numPr>
        <w:ilvl w:val="1"/>
      </w:numPr>
      <w:outlineLvl w:val="2"/>
    </w:pPr>
    <w:rPr>
      <w:sz w:val="28"/>
    </w:rPr>
  </w:style>
  <w:style w:type="paragraph" w:styleId="Nagwek4">
    <w:name w:val="heading 4"/>
    <w:basedOn w:val="Nagwek3"/>
    <w:next w:val="Normalny"/>
    <w:link w:val="Nagwek4Znak"/>
    <w:uiPriority w:val="11"/>
    <w:unhideWhenUsed/>
    <w:qFormat/>
    <w:rsid w:val="00BF6F71"/>
    <w:pPr>
      <w:numPr>
        <w:ilvl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11"/>
    <w:unhideWhenUsed/>
    <w:qFormat/>
    <w:rsid w:val="00BF6F71"/>
    <w:pPr>
      <w:keepNext/>
      <w:keepLines/>
      <w:numPr>
        <w:ilvl w:val="3"/>
        <w:numId w:val="5"/>
      </w:numPr>
      <w:spacing w:before="120" w:after="0" w:line="312" w:lineRule="auto"/>
      <w:outlineLvl w:val="4"/>
    </w:pPr>
    <w:rPr>
      <w:rFonts w:asciiTheme="majorHAnsi" w:eastAsiaTheme="majorEastAsia" w:hAnsiTheme="majorHAnsi" w:cstheme="majorBidi"/>
      <w:color w:val="F15A22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1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1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27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019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019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019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91"/>
  </w:style>
  <w:style w:type="paragraph" w:styleId="Stopka">
    <w:name w:val="footer"/>
    <w:basedOn w:val="Normalny"/>
    <w:link w:val="Stopka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91"/>
  </w:style>
  <w:style w:type="paragraph" w:customStyle="1" w:styleId="Listapktnum">
    <w:name w:val="Lista pkt./num."/>
    <w:basedOn w:val="Normalny"/>
    <w:link w:val="ListapktnumZnak"/>
    <w:uiPriority w:val="1"/>
    <w:qFormat/>
    <w:rsid w:val="00CB4C3E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CB4C3E"/>
    <w:rPr>
      <w:sz w:val="24"/>
      <w:szCs w:val="24"/>
    </w:rPr>
  </w:style>
  <w:style w:type="numbering" w:customStyle="1" w:styleId="Pkt1">
    <w:name w:val="Pkt_1"/>
    <w:uiPriority w:val="99"/>
    <w:rsid w:val="00CB4C3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F6F71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F6F71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11"/>
    <w:rsid w:val="00BF6F71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11"/>
    <w:rsid w:val="00BF6F71"/>
    <w:rPr>
      <w:rFonts w:asciiTheme="majorHAnsi" w:eastAsiaTheme="majorEastAsia" w:hAnsiTheme="majorHAnsi" w:cstheme="majorBidi"/>
      <w:color w:val="F15A22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6F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FEFB7-CD2F-445C-8779-7E4FD5F27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737D1-37AE-4C46-8E0D-C49FA0A4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C692-A107-4DD6-8681-56A9A9992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Dominiak</dc:creator>
  <cp:keywords/>
  <dc:description/>
  <cp:lastModifiedBy>PEC Sandomierz</cp:lastModifiedBy>
  <cp:revision>16</cp:revision>
  <dcterms:created xsi:type="dcterms:W3CDTF">2021-02-26T08:56:00Z</dcterms:created>
  <dcterms:modified xsi:type="dcterms:W3CDTF">2021-03-24T09:33:00Z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